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11A3AA1A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="00743D3A">
        <w:t xml:space="preserve"> </w:t>
      </w:r>
      <w:hyperlink r:id="rId7" w:history="1">
        <w:r w:rsidR="00697DB7" w:rsidRPr="005B3A4E">
          <w:rPr>
            <w:rStyle w:val="Collegamentoipertestuale"/>
          </w:rPr>
          <w:t>progetti@pec.apuliafilmcommission.it</w:t>
        </w:r>
      </w:hyperlink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3EC74EAE" w14:textId="77777777" w:rsidR="00D064D9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AFFIDAMENTO DELL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INCARICO DI</w:t>
      </w:r>
    </w:p>
    <w:p w14:paraId="3BE2E53A" w14:textId="77777777" w:rsidR="00845783" w:rsidRPr="00F309DF" w:rsidRDefault="00845783" w:rsidP="0084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DEL SERVIZIO DI PROTEZIONE E PREVENZIONE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RSPP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) </w:t>
      </w:r>
      <w:r w:rsidRPr="002A4FF0">
        <w:rPr>
          <w:rFonts w:ascii="Arial" w:hAnsi="Arial" w:cs="Arial"/>
          <w:b/>
          <w:bCs/>
          <w:i/>
          <w:smallCaps/>
          <w:sz w:val="24"/>
          <w:szCs w:val="24"/>
        </w:rPr>
        <w:t>DELLA FONDAZIONE APULIA FILM CO</w:t>
      </w:r>
      <w:r w:rsidRPr="008859D4">
        <w:rPr>
          <w:rFonts w:ascii="Arial" w:hAnsi="Arial" w:cs="Arial"/>
          <w:b/>
          <w:bCs/>
          <w:i/>
          <w:smallCaps/>
          <w:sz w:val="24"/>
        </w:rPr>
        <w:t>MMISSION</w:t>
      </w:r>
      <w:r w:rsidRPr="00F309DF">
        <w:rPr>
          <w:rFonts w:ascii="Arial" w:hAnsi="Arial" w:cs="Arial"/>
          <w:b/>
          <w:bCs/>
          <w:i/>
          <w:smallCaps/>
          <w:sz w:val="24"/>
        </w:rPr>
        <w:t xml:space="preserve"> </w:t>
      </w:r>
    </w:p>
    <w:p w14:paraId="5CF0A40D" w14:textId="77777777" w:rsidR="00D064D9" w:rsidRDefault="00D064D9">
      <w:pPr>
        <w:ind w:right="769"/>
        <w:jc w:val="right"/>
      </w:pPr>
    </w:p>
    <w:p w14:paraId="35A22498" w14:textId="446E9C87" w:rsidR="00446887" w:rsidRPr="00D064D9" w:rsidRDefault="00D064D9" w:rsidP="00D064D9">
      <w:pPr>
        <w:pStyle w:val="Corpotesto"/>
        <w:spacing w:before="11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D064D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6788089A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dell’incarico di </w:t>
      </w:r>
      <w:r w:rsidR="00D064D9">
        <w:t xml:space="preserve">Responsabile </w:t>
      </w:r>
      <w:r w:rsidR="00845783">
        <w:t>del servizio di Protezione e Prevenzione (RSPP) della Fondazione AFC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441588F4" w14:textId="6D8478D3" w:rsidR="00845783" w:rsidRDefault="00000000" w:rsidP="00845783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845783">
        <w:rPr>
          <w:sz w:val="24"/>
        </w:rPr>
        <w:t xml:space="preserve">di essere </w:t>
      </w:r>
      <w:r w:rsidR="004557A0" w:rsidRPr="00845783">
        <w:rPr>
          <w:sz w:val="24"/>
        </w:rPr>
        <w:t xml:space="preserve">in possesso di </w:t>
      </w:r>
      <w:r w:rsidR="00845783" w:rsidRPr="00845783">
        <w:rPr>
          <w:sz w:val="24"/>
        </w:rPr>
        <w:t xml:space="preserve">Laurea specificatamente indicata al c. 5 dell’art. 32 </w:t>
      </w:r>
      <w:proofErr w:type="spellStart"/>
      <w:r w:rsidR="00845783" w:rsidRPr="00845783">
        <w:rPr>
          <w:sz w:val="24"/>
        </w:rPr>
        <w:t>D.Lgs</w:t>
      </w:r>
      <w:proofErr w:type="spellEnd"/>
      <w:r w:rsidR="00845783" w:rsidRPr="00845783">
        <w:rPr>
          <w:sz w:val="24"/>
        </w:rPr>
        <w:t xml:space="preserve"> 81/2008, o Diploma di istruzione Secondaria Superiore, integrati da attestati di frequenza, con verifica dell’apprendimento, di specifici corsi di formazione di cui al c. 2 del </w:t>
      </w:r>
      <w:proofErr w:type="spellStart"/>
      <w:r w:rsidR="00845783" w:rsidRPr="00845783">
        <w:rPr>
          <w:sz w:val="24"/>
        </w:rPr>
        <w:t>gia</w:t>
      </w:r>
      <w:proofErr w:type="spellEnd"/>
      <w:r w:rsidR="00845783" w:rsidRPr="00845783">
        <w:rPr>
          <w:sz w:val="24"/>
        </w:rPr>
        <w:t xml:space="preserve">̀ citato art. 32 del </w:t>
      </w:r>
      <w:proofErr w:type="spellStart"/>
      <w:r w:rsidR="00845783" w:rsidRPr="00845783">
        <w:rPr>
          <w:sz w:val="24"/>
        </w:rPr>
        <w:t>D.Lgs</w:t>
      </w:r>
      <w:proofErr w:type="spellEnd"/>
      <w:r w:rsidR="00845783" w:rsidRPr="00845783">
        <w:rPr>
          <w:sz w:val="24"/>
        </w:rPr>
        <w:t xml:space="preserve"> 81/2008, organizzati da Enti espressamente indicati al c. 4 dello stesso articolo</w:t>
      </w:r>
      <w:r w:rsidR="00845783">
        <w:rPr>
          <w:sz w:val="24"/>
        </w:rPr>
        <w:t xml:space="preserve"> conseguita il……….</w:t>
      </w:r>
    </w:p>
    <w:p w14:paraId="02FEC145" w14:textId="0BD88533" w:rsidR="00845783" w:rsidRPr="00845783" w:rsidRDefault="00845783" w:rsidP="00845783">
      <w:pPr>
        <w:pStyle w:val="Style1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>di essere in possesso</w:t>
      </w:r>
      <w:r w:rsidRPr="00845783">
        <w:rPr>
          <w:rFonts w:ascii="Calibri" w:eastAsia="Calibri" w:hAnsi="Calibri" w:cs="Calibri"/>
          <w:sz w:val="24"/>
          <w:szCs w:val="22"/>
          <w:lang w:eastAsia="en-US"/>
        </w:rPr>
        <w:t xml:space="preserve"> degli attestati di frequenza dei moduli A, B, C, e dei crediti professionali e formativi pregressi R.S.P.P. come prescritto dalla normativa vigente</w:t>
      </w:r>
      <w:r>
        <w:rPr>
          <w:rFonts w:ascii="Calibri" w:eastAsia="Calibri" w:hAnsi="Calibri" w:cs="Calibri"/>
          <w:sz w:val="24"/>
          <w:szCs w:val="22"/>
          <w:lang w:eastAsia="en-US"/>
        </w:rPr>
        <w:t xml:space="preserve"> (allegare relativa dichiarazione);</w:t>
      </w:r>
    </w:p>
    <w:p w14:paraId="1140EE32" w14:textId="26146515" w:rsidR="00845783" w:rsidRPr="00845783" w:rsidRDefault="00845783" w:rsidP="00845783">
      <w:pPr>
        <w:pStyle w:val="Style1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>di avere e</w:t>
      </w:r>
      <w:r w:rsidRPr="00845783">
        <w:rPr>
          <w:rFonts w:ascii="Calibri" w:eastAsia="Calibri" w:hAnsi="Calibri" w:cs="Calibri"/>
          <w:sz w:val="24"/>
          <w:szCs w:val="22"/>
          <w:lang w:eastAsia="en-US"/>
        </w:rPr>
        <w:t>sperienza professionale di non meno di 5 anni in favore di Amministrazioni pubbliche, Enti controllati e Società private, con comprovato svolgimento di attività afferenti alla sicurezza sul lavoro e come Responsabile del Servizio di Prevenzione e Protezione (RSPP)</w:t>
      </w:r>
      <w:r>
        <w:rPr>
          <w:rFonts w:ascii="Calibri" w:eastAsia="Calibri" w:hAnsi="Calibri" w:cs="Calibri"/>
          <w:sz w:val="24"/>
          <w:szCs w:val="22"/>
          <w:lang w:eastAsia="en-US"/>
        </w:rPr>
        <w:t>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D31C" w14:textId="77777777" w:rsidR="0020486C" w:rsidRDefault="0020486C">
      <w:r>
        <w:separator/>
      </w:r>
    </w:p>
  </w:endnote>
  <w:endnote w:type="continuationSeparator" w:id="0">
    <w:p w14:paraId="2BF8458E" w14:textId="77777777" w:rsidR="0020486C" w:rsidRDefault="0020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938C" w14:textId="77777777" w:rsidR="0020486C" w:rsidRDefault="0020486C">
      <w:r>
        <w:separator/>
      </w:r>
    </w:p>
  </w:footnote>
  <w:footnote w:type="continuationSeparator" w:id="0">
    <w:p w14:paraId="50C0AF1E" w14:textId="77777777" w:rsidR="0020486C" w:rsidRDefault="0020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415BC5"/>
    <w:multiLevelType w:val="hybridMultilevel"/>
    <w:tmpl w:val="8EB408F6"/>
    <w:lvl w:ilvl="0" w:tplc="F17EFE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3005">
    <w:abstractNumId w:val="5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4"/>
  </w:num>
  <w:num w:numId="7" w16cid:durableId="196203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0486C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D278A"/>
    <w:rsid w:val="005A7B93"/>
    <w:rsid w:val="00620C5D"/>
    <w:rsid w:val="00625820"/>
    <w:rsid w:val="006314F3"/>
    <w:rsid w:val="00656E7F"/>
    <w:rsid w:val="00660650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45783"/>
    <w:rsid w:val="00861984"/>
    <w:rsid w:val="008B6B64"/>
    <w:rsid w:val="008D5BC5"/>
    <w:rsid w:val="00943B2B"/>
    <w:rsid w:val="009849A2"/>
    <w:rsid w:val="009920C0"/>
    <w:rsid w:val="009A65DF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064D9"/>
    <w:rsid w:val="00D44131"/>
    <w:rsid w:val="00DA07E5"/>
    <w:rsid w:val="00DB7B37"/>
    <w:rsid w:val="00E20C1A"/>
    <w:rsid w:val="00E6181E"/>
    <w:rsid w:val="00E63B5F"/>
    <w:rsid w:val="00EA5AF0"/>
    <w:rsid w:val="00EB1F83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  <w:style w:type="paragraph" w:customStyle="1" w:styleId="Style1">
    <w:name w:val="Style 1"/>
    <w:rsid w:val="00845783"/>
    <w:pPr>
      <w:spacing w:line="396" w:lineRule="exact"/>
    </w:pPr>
    <w:rPr>
      <w:rFonts w:ascii="Bookman Old Style" w:eastAsia="Times New Roman" w:hAnsi="Bookman Old Style" w:cs="Bookman Old Style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i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41</cp:revision>
  <dcterms:created xsi:type="dcterms:W3CDTF">2024-01-02T16:00:00Z</dcterms:created>
  <dcterms:modified xsi:type="dcterms:W3CDTF">2024-09-12T14:08:00Z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